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eastAsia="Times New Roman"/>
          <w:sz w:val="32"/>
        </w:rPr>
      </w:pPr>
      <w:bookmarkStart w:id="0" w:name="_GoBack"/>
      <w:bookmarkEnd w:id="0"/>
      <w:r>
        <w:rPr>
          <w:rFonts w:hint="eastAsia"/>
          <w:sz w:val="32"/>
        </w:rPr>
        <w:t>保</w:t>
      </w:r>
      <w:r>
        <w:rPr>
          <w:rFonts w:hint="default"/>
          <w:sz w:val="32"/>
        </w:rPr>
        <w:t xml:space="preserve">  </w:t>
      </w:r>
      <w:r>
        <w:rPr>
          <w:rFonts w:hint="eastAsia"/>
          <w:sz w:val="32"/>
        </w:rPr>
        <w:t>密</w:t>
      </w:r>
      <w:r>
        <w:rPr>
          <w:rFonts w:hint="default"/>
          <w:sz w:val="32"/>
        </w:rPr>
        <w:t xml:space="preserve">  </w:t>
      </w:r>
      <w:r>
        <w:rPr>
          <w:rFonts w:hint="eastAsia"/>
          <w:sz w:val="32"/>
        </w:rPr>
        <w:t>合</w:t>
      </w:r>
      <w:r>
        <w:rPr>
          <w:rFonts w:hint="default"/>
          <w:sz w:val="32"/>
        </w:rPr>
        <w:t xml:space="preserve">  </w:t>
      </w:r>
      <w:r>
        <w:rPr>
          <w:rFonts w:hint="eastAsia"/>
          <w:sz w:val="32"/>
        </w:rPr>
        <w:t>約</w:t>
      </w:r>
      <w:r>
        <w:rPr>
          <w:rFonts w:hint="default"/>
          <w:sz w:val="32"/>
        </w:rPr>
        <w:t xml:space="preserve">  </w:t>
      </w:r>
      <w:r>
        <w:rPr>
          <w:rFonts w:hint="eastAsia"/>
          <w:sz w:val="32"/>
        </w:rPr>
        <w:t>書</w:t>
      </w:r>
    </w:p>
    <w:p>
      <w:pPr>
        <w:jc w:val="center"/>
        <w:rPr>
          <w:rFonts w:hint="default" w:eastAsia="Times New Roman"/>
          <w:sz w:val="32"/>
        </w:rPr>
      </w:pPr>
    </w:p>
    <w:p>
      <w:pPr>
        <w:spacing w:line="280" w:lineRule="exact"/>
        <w:rPr>
          <w:rFonts w:hint="default" w:ascii="標楷體" w:eastAsia="Times New Roman"/>
          <w:sz w:val="22"/>
        </w:rPr>
      </w:pPr>
      <w:r>
        <w:rPr>
          <w:rFonts w:hint="eastAsia" w:ascii="標楷體" w:hAnsi="標楷體"/>
          <w:sz w:val="22"/>
        </w:rPr>
        <w:t xml:space="preserve">              </w:t>
      </w:r>
      <w:r>
        <w:rPr>
          <w:rFonts w:hint="eastAsia" w:ascii="標楷體"/>
        </w:rPr>
        <w:t>華冠通訊</w:t>
      </w:r>
      <w:r>
        <w:rPr>
          <w:rFonts w:hint="eastAsia" w:ascii="標楷體" w:hAnsi="標楷體"/>
        </w:rPr>
        <w:t>股份有限公司</w:t>
      </w:r>
      <w:r>
        <w:rPr>
          <w:rFonts w:hint="eastAsia" w:ascii="標楷體"/>
          <w:sz w:val="22"/>
        </w:rPr>
        <w:t>（以下簡稱   甲方）</w:t>
      </w:r>
    </w:p>
    <w:p>
      <w:pPr>
        <w:pStyle w:val="4"/>
        <w:rPr>
          <w:rFonts w:hint="default" w:eastAsia="Times New Roman"/>
        </w:rPr>
      </w:pPr>
      <w:r>
        <w:rPr>
          <w:rFonts w:hint="eastAsia" w:ascii="標楷體" w:eastAsia="標楷體"/>
        </w:rPr>
        <w:t>立合約書人</w:t>
      </w:r>
    </w:p>
    <w:p>
      <w:pPr>
        <w:spacing w:line="280" w:lineRule="exact"/>
        <w:rPr>
          <w:rFonts w:hint="default" w:ascii="標楷體" w:eastAsia="Times New Roman"/>
          <w:sz w:val="22"/>
        </w:rPr>
      </w:pPr>
      <w:r>
        <w:rPr>
          <w:rFonts w:hint="eastAsia" w:ascii="標楷體"/>
          <w:sz w:val="22"/>
        </w:rPr>
        <w:t xml:space="preserve">              </w:t>
      </w:r>
      <w:r>
        <w:rPr>
          <w:rFonts w:hint="eastAsia" w:ascii="標楷體"/>
          <w:sz w:val="22"/>
          <w:u w:val="single"/>
        </w:rPr>
        <w:t>__________________________</w:t>
      </w:r>
      <w:r>
        <w:rPr>
          <w:rFonts w:hint="eastAsia" w:ascii="標楷體" w:hAnsi="標楷體"/>
        </w:rPr>
        <w:t>股份有限公司</w:t>
      </w:r>
      <w:r>
        <w:rPr>
          <w:rFonts w:hint="eastAsia" w:ascii="標楷體"/>
          <w:sz w:val="22"/>
        </w:rPr>
        <w:t>（以下簡稱   乙方）</w:t>
      </w:r>
    </w:p>
    <w:p>
      <w:pPr>
        <w:jc w:val="both"/>
        <w:rPr>
          <w:rFonts w:hint="default" w:eastAsia="Times New Roman"/>
        </w:rPr>
      </w:pPr>
    </w:p>
    <w:p>
      <w:pPr>
        <w:pStyle w:val="7"/>
        <w:jc w:val="both"/>
        <w:rPr>
          <w:rFonts w:hint="default" w:ascii="Times New Roman" w:hAnsi="Times New Roman" w:eastAsia="標楷體"/>
          <w:kern w:val="2"/>
          <w:sz w:val="24"/>
        </w:rPr>
      </w:pPr>
      <w:r>
        <w:rPr>
          <w:rFonts w:hint="eastAsia" w:ascii="Times New Roman" w:hAnsi="Times New Roman" w:eastAsia="標楷體"/>
          <w:kern w:val="2"/>
          <w:sz w:val="24"/>
        </w:rPr>
        <w:t>今乙方在恪遵保密規範之基礎上，甲方同意揭露與產品名</w:t>
      </w:r>
      <w:r>
        <w:rPr>
          <w:rFonts w:hint="default" w:ascii="Times New Roman" w:hAnsi="Times New Roman" w:eastAsia="標楷體"/>
          <w:kern w:val="2"/>
          <w:sz w:val="24"/>
        </w:rPr>
        <w:t>: Arima 6125 10'' Demo Kit</w:t>
      </w:r>
      <w:r>
        <w:rPr>
          <w:rFonts w:hint="eastAsia" w:ascii="Times New Roman" w:hAnsi="Times New Roman" w:eastAsia="標楷體"/>
          <w:kern w:val="2"/>
          <w:sz w:val="24"/>
        </w:rPr>
        <w:t>相關之機密資訊予乙方，乙方已充分瞭解並同意甲方就該機密資訊因其祕密性而具有實際或潛在之經濟價值，並且甲方已採取合理之保密措施。為確保並維護甲方基於該等機密資訊及文件所可能享有之商業上利益，乙方同意下列各項保密條款之規定</w:t>
      </w:r>
      <w:r>
        <w:rPr>
          <w:rFonts w:hint="default" w:ascii="Times New Roman" w:hAnsi="Times New Roman" w:eastAsia="標楷體"/>
          <w:kern w:val="2"/>
          <w:sz w:val="24"/>
        </w:rPr>
        <w:t>:</w:t>
      </w:r>
    </w:p>
    <w:p>
      <w:pPr>
        <w:jc w:val="both"/>
        <w:rPr>
          <w:rFonts w:hint="default" w:eastAsia="Times New Roman"/>
        </w:rPr>
      </w:pPr>
    </w:p>
    <w:p>
      <w:pPr>
        <w:jc w:val="both"/>
        <w:rPr>
          <w:rFonts w:hint="default" w:eastAsia="Times New Roman"/>
        </w:rPr>
      </w:pPr>
      <w:r>
        <w:rPr>
          <w:rFonts w:hint="eastAsia"/>
        </w:rPr>
        <w:t>第一條：機密資訊</w:t>
      </w:r>
    </w:p>
    <w:p>
      <w:pPr>
        <w:numPr>
          <w:ilvl w:val="0"/>
          <w:numId w:val="1"/>
        </w:numPr>
        <w:jc w:val="both"/>
        <w:rPr>
          <w:rFonts w:hint="default" w:ascii="標楷體" w:eastAsia="Times New Roman"/>
        </w:rPr>
      </w:pPr>
      <w:r>
        <w:rPr>
          <w:rFonts w:hint="eastAsia"/>
        </w:rPr>
        <w:t>機密資訊：</w:t>
      </w:r>
      <w:r>
        <w:rPr>
          <w:rFonts w:hint="eastAsia" w:ascii="標楷體"/>
        </w:rPr>
        <w:t>本合約所稱之「機密資訊」，其內容包括一切以物理方式表達，包括但不限於書面、口頭、晒圖、磁帶、磁碟片、光碟片、晶片、模型或產品，並且經甲方於交付時指明為「限閱」、「密」、「機密」、「極機密」之營業資料</w:t>
      </w:r>
      <w:r>
        <w:rPr>
          <w:rFonts w:hint="eastAsia" w:ascii="標楷體" w:hAnsi="標楷體"/>
        </w:rPr>
        <w:t>、合約內容</w:t>
      </w:r>
      <w:r>
        <w:rPr>
          <w:rFonts w:hint="eastAsia" w:ascii="標楷體"/>
        </w:rPr>
        <w:t>或技術資料，包括但不限於方法、技術、製程、還原工程、配方、程式、市場情報、</w:t>
      </w:r>
      <w:r>
        <w:rPr>
          <w:rFonts w:hint="eastAsia" w:ascii="標楷體" w:hAnsi="標楷體"/>
        </w:rPr>
        <w:t>合約之條款內容及合約之本身、</w:t>
      </w:r>
      <w:r>
        <w:rPr>
          <w:rFonts w:hint="eastAsia" w:ascii="標楷體"/>
        </w:rPr>
        <w:t>產品價格、報價及付款條件、商業決策、工作計劃、特定程序、系統、設計、技術、觀念等，以及其他可用於生產、銷售或經營具有商業或財產價值之資訊。乙方如對於是否屬於機密資訊有疑問時，應即向甲方徵詢意見。</w:t>
      </w:r>
    </w:p>
    <w:p>
      <w:pPr>
        <w:numPr>
          <w:ilvl w:val="0"/>
          <w:numId w:val="1"/>
        </w:numPr>
        <w:jc w:val="both"/>
        <w:rPr>
          <w:rFonts w:hint="default" w:eastAsia="Times New Roman"/>
        </w:rPr>
      </w:pPr>
      <w:r>
        <w:rPr>
          <w:rFonts w:hint="eastAsia"/>
        </w:rPr>
        <w:t>機密資訊並不包括：（</w:t>
      </w:r>
      <w:r>
        <w:rPr>
          <w:rFonts w:hint="default"/>
        </w:rPr>
        <w:t>1</w:t>
      </w:r>
      <w:r>
        <w:rPr>
          <w:rFonts w:hint="eastAsia"/>
        </w:rPr>
        <w:t>）非因乙方違反本合約，而已為公眾所能取得或知悉者；（</w:t>
      </w:r>
      <w:r>
        <w:rPr>
          <w:rFonts w:hint="default"/>
        </w:rPr>
        <w:t>2</w:t>
      </w:r>
      <w:r>
        <w:rPr>
          <w:rFonts w:hint="eastAsia"/>
        </w:rPr>
        <w:t>）在甲方對乙方揭露該機密資訊前，乙方據以文件證明該資訊為其已經知悉者；（</w:t>
      </w:r>
      <w:r>
        <w:rPr>
          <w:rFonts w:hint="default"/>
        </w:rPr>
        <w:t>3</w:t>
      </w:r>
      <w:r>
        <w:rPr>
          <w:rFonts w:hint="eastAsia"/>
        </w:rPr>
        <w:t>）乙方已由第三方所取得，且該第三方並未對甲方負擔任何保密義務；（</w:t>
      </w:r>
      <w:r>
        <w:rPr>
          <w:rFonts w:hint="default"/>
        </w:rPr>
        <w:t>4</w:t>
      </w:r>
      <w:r>
        <w:rPr>
          <w:rFonts w:hint="eastAsia"/>
        </w:rPr>
        <w:t>）由乙方所獨立發展出來的。</w:t>
      </w:r>
    </w:p>
    <w:p>
      <w:pPr>
        <w:jc w:val="both"/>
        <w:rPr>
          <w:rFonts w:hint="default" w:eastAsia="Times New Roman"/>
        </w:rPr>
      </w:pPr>
    </w:p>
    <w:p>
      <w:pPr>
        <w:jc w:val="both"/>
        <w:rPr>
          <w:rFonts w:hint="default" w:eastAsia="Times New Roman"/>
        </w:rPr>
      </w:pPr>
      <w:r>
        <w:rPr>
          <w:rFonts w:hint="eastAsia"/>
        </w:rPr>
        <w:t>第二條：保密義務</w:t>
      </w:r>
    </w:p>
    <w:p>
      <w:pPr>
        <w:numPr>
          <w:ilvl w:val="0"/>
          <w:numId w:val="2"/>
        </w:numPr>
        <w:tabs>
          <w:tab w:val="left" w:pos="1232"/>
          <w:tab w:val="clear" w:pos="1155"/>
        </w:tabs>
        <w:ind w:left="1232" w:hanging="752"/>
        <w:jc w:val="both"/>
        <w:rPr>
          <w:rFonts w:hint="default" w:eastAsia="Times New Roman"/>
        </w:rPr>
      </w:pPr>
      <w:r>
        <w:rPr>
          <w:rFonts w:hint="eastAsia"/>
        </w:rPr>
        <w:t>乙方在接受甲方所提供或揭露之機密資訊後五年之期間內，不得對外揭露甲方之任何機密資訊。乙方僅得在法院或政府之正式要求或命令下，揭露該機密資訊，但乙方必須在揭露前立即通知甲方，並需協助甲方採取一切可能之保護措施</w:t>
      </w:r>
      <w:r>
        <w:rPr>
          <w:rFonts w:hint="eastAsia" w:ascii="標楷體" w:hAnsi="標楷體"/>
        </w:rPr>
        <w:t>、</w:t>
      </w:r>
      <w:r>
        <w:rPr>
          <w:rFonts w:hint="eastAsia"/>
        </w:rPr>
        <w:t>限制揭露之範圍或遵循相關之保密規定。</w:t>
      </w:r>
    </w:p>
    <w:p>
      <w:pPr>
        <w:numPr>
          <w:ilvl w:val="0"/>
          <w:numId w:val="2"/>
        </w:numPr>
        <w:tabs>
          <w:tab w:val="left" w:pos="1232"/>
          <w:tab w:val="clear" w:pos="1155"/>
        </w:tabs>
        <w:ind w:left="1232" w:hanging="752"/>
        <w:jc w:val="both"/>
        <w:rPr>
          <w:rFonts w:hint="default" w:eastAsia="Times New Roman"/>
        </w:rPr>
      </w:pPr>
      <w:r>
        <w:rPr>
          <w:rFonts w:hint="eastAsia"/>
        </w:rPr>
        <w:t>乙方對於甲方之機密資訊應盡至少與保護自己機密資訊相同程度之注意義務保護甲方機密資訊，並使甲方機密資訊維持</w:t>
      </w:r>
      <w:r>
        <w:rPr>
          <w:rFonts w:hint="eastAsia" w:ascii="標楷體"/>
        </w:rPr>
        <w:t>「</w:t>
      </w:r>
      <w:r>
        <w:rPr>
          <w:rFonts w:hint="eastAsia"/>
        </w:rPr>
        <w:t>機密</w:t>
      </w:r>
      <w:r>
        <w:rPr>
          <w:rFonts w:hint="eastAsia" w:ascii="標楷體"/>
        </w:rPr>
        <w:t>」</w:t>
      </w:r>
      <w:r>
        <w:rPr>
          <w:rFonts w:hint="eastAsia"/>
        </w:rPr>
        <w:t>之狀態，乙方僅得揭露該機密資訊給其必須知悉之員工，同時乙方必須與其接受甲方機密資訊之員工簽署任何書面的保密協議，以確保乙方人員能確實遵守本合約之保密義務。</w:t>
      </w:r>
    </w:p>
    <w:p>
      <w:pPr>
        <w:numPr>
          <w:ilvl w:val="0"/>
          <w:numId w:val="2"/>
        </w:numPr>
        <w:tabs>
          <w:tab w:val="left" w:pos="1232"/>
          <w:tab w:val="clear" w:pos="1155"/>
        </w:tabs>
        <w:ind w:left="1232" w:hanging="752"/>
        <w:jc w:val="both"/>
        <w:rPr>
          <w:rFonts w:hint="default" w:eastAsia="Times New Roman"/>
        </w:rPr>
      </w:pPr>
      <w:r>
        <w:rPr>
          <w:rFonts w:hint="eastAsia"/>
        </w:rPr>
        <w:t>非經甲方事前書面同意，乙方不得為自己或他人從事揭露、重製、摘錄或散佈甲方之機密資訊之行為。乙方同意對於甲方所提供或揭露之機密資訊必須與其他人所提供之機密資訊分開保管，以避免混淆。</w:t>
      </w:r>
    </w:p>
    <w:p>
      <w:pPr>
        <w:numPr>
          <w:ilvl w:val="0"/>
          <w:numId w:val="2"/>
        </w:numPr>
        <w:tabs>
          <w:tab w:val="left" w:pos="1232"/>
          <w:tab w:val="clear" w:pos="1155"/>
        </w:tabs>
        <w:ind w:left="1232" w:hanging="752"/>
        <w:jc w:val="both"/>
        <w:rPr>
          <w:rFonts w:hint="default" w:eastAsia="Times New Roman"/>
        </w:rPr>
      </w:pPr>
      <w:r>
        <w:rPr>
          <w:rFonts w:hint="eastAsia"/>
        </w:rPr>
        <w:t>乙方不得針對機密資訊中有關軟體部分從事反向工程（</w:t>
      </w:r>
      <w:r>
        <w:rPr>
          <w:rFonts w:hint="default"/>
        </w:rPr>
        <w:t>reverse engineering</w:t>
      </w:r>
      <w:r>
        <w:rPr>
          <w:rFonts w:hint="eastAsia"/>
        </w:rPr>
        <w:t>）、轉碼</w:t>
      </w:r>
      <w:r>
        <w:rPr>
          <w:rFonts w:hint="default"/>
        </w:rPr>
        <w:t>(decompile)</w:t>
      </w:r>
      <w:r>
        <w:rPr>
          <w:rFonts w:hint="eastAsia"/>
        </w:rPr>
        <w:t>、或分解</w:t>
      </w:r>
      <w:r>
        <w:rPr>
          <w:rFonts w:hint="default"/>
        </w:rPr>
        <w:t>(disassemble)</w:t>
      </w:r>
      <w:r>
        <w:rPr>
          <w:rFonts w:hint="eastAsia"/>
        </w:rPr>
        <w:t>之行為。</w:t>
      </w:r>
    </w:p>
    <w:p>
      <w:pPr>
        <w:jc w:val="both"/>
        <w:rPr>
          <w:rFonts w:hint="default" w:eastAsia="Times New Roman"/>
        </w:rPr>
      </w:pPr>
    </w:p>
    <w:p>
      <w:pPr>
        <w:jc w:val="both"/>
        <w:rPr>
          <w:rFonts w:hint="default" w:eastAsia="Times New Roman"/>
        </w:rPr>
      </w:pPr>
      <w:r>
        <w:rPr>
          <w:rFonts w:hint="eastAsia"/>
        </w:rPr>
        <w:t>第三條：權利與賠償</w:t>
      </w:r>
    </w:p>
    <w:p>
      <w:pPr>
        <w:numPr>
          <w:ilvl w:val="0"/>
          <w:numId w:val="3"/>
        </w:numPr>
        <w:jc w:val="both"/>
        <w:rPr>
          <w:rFonts w:hint="default" w:eastAsia="Times New Roman"/>
        </w:rPr>
      </w:pPr>
      <w:r>
        <w:rPr>
          <w:rFonts w:hint="eastAsia"/>
        </w:rPr>
        <w:t>乙方若發現有任何未經授權使用或揭露甲方之機密資訊、或發現乙方有任何違反本合約之行為時，乙方必須立即通知甲方，同時並以各種可能之方式與甲方合作並協助甲方取回所有機密資訊以防止進一步之非授權使用或揭露。</w:t>
      </w:r>
    </w:p>
    <w:p>
      <w:pPr>
        <w:numPr>
          <w:ilvl w:val="0"/>
          <w:numId w:val="3"/>
        </w:numPr>
        <w:jc w:val="both"/>
        <w:rPr>
          <w:rFonts w:hint="default" w:eastAsia="Times New Roman"/>
        </w:rPr>
      </w:pPr>
      <w:r>
        <w:rPr>
          <w:rFonts w:hint="eastAsia"/>
        </w:rPr>
        <w:t>乙方必須在甲方之要求下，立即退回所有機密資訊之原件、複本、重製本及摘錄給甲方，或甲方可選擇要求乙方銷毀上述資訊，而乙方並須在銷毀後三日內，由乙方負責人具名提出已銷毀之聲明書</w:t>
      </w:r>
      <w:r>
        <w:rPr>
          <w:rFonts w:hint="default"/>
        </w:rPr>
        <w:t>(affidavit)</w:t>
      </w:r>
      <w:r>
        <w:rPr>
          <w:rFonts w:hint="eastAsia"/>
        </w:rPr>
        <w:t>。</w:t>
      </w:r>
    </w:p>
    <w:p>
      <w:pPr>
        <w:numPr>
          <w:ilvl w:val="0"/>
          <w:numId w:val="3"/>
        </w:numPr>
        <w:jc w:val="both"/>
        <w:rPr>
          <w:rFonts w:hint="default" w:eastAsia="Times New Roman"/>
        </w:rPr>
      </w:pPr>
      <w:r>
        <w:rPr>
          <w:rFonts w:hint="eastAsia"/>
        </w:rPr>
        <w:t>乙方瞭解對於任何非經授權使用甲方之機密資訊時，金錢賠償將不足以彌補甲方之損害，因此，甲方有權要求法院發出禁制令</w:t>
      </w:r>
      <w:r>
        <w:rPr>
          <w:rFonts w:hint="default"/>
        </w:rPr>
        <w:t>(injunction)</w:t>
      </w:r>
      <w:r>
        <w:rPr>
          <w:rFonts w:hint="eastAsia"/>
        </w:rPr>
        <w:t>或法律上相類</w:t>
      </w:r>
      <w:r>
        <w:rPr>
          <w:rFonts w:hint="eastAsia" w:ascii="標楷體" w:hAnsi="標楷體"/>
        </w:rPr>
        <w:t>似之其他救濟途徑</w:t>
      </w:r>
      <w:r>
        <w:rPr>
          <w:rFonts w:hint="eastAsia"/>
        </w:rPr>
        <w:t>，禁止乙方繼續使用該機密資訊。</w:t>
      </w:r>
    </w:p>
    <w:p>
      <w:pPr>
        <w:numPr>
          <w:ilvl w:val="0"/>
          <w:numId w:val="3"/>
        </w:numPr>
        <w:jc w:val="both"/>
        <w:rPr>
          <w:rFonts w:hint="default" w:eastAsia="Times New Roman"/>
        </w:rPr>
      </w:pPr>
      <w:r>
        <w:rPr>
          <w:rFonts w:hint="eastAsia"/>
        </w:rPr>
        <w:t>甲方得在合理之事前通知下，並在一般上班時間內，至乙方之場所進行檢查與稽核，以確認乙方是否遵守本合約之保密規定。</w:t>
      </w:r>
    </w:p>
    <w:p>
      <w:pPr>
        <w:jc w:val="both"/>
        <w:rPr>
          <w:rFonts w:hint="default" w:eastAsia="Times New Roman"/>
        </w:rPr>
      </w:pPr>
    </w:p>
    <w:p>
      <w:pPr>
        <w:jc w:val="both"/>
        <w:rPr>
          <w:rFonts w:hint="default" w:eastAsia="Times New Roman"/>
        </w:rPr>
      </w:pPr>
      <w:r>
        <w:rPr>
          <w:rFonts w:hint="eastAsia"/>
        </w:rPr>
        <w:t>第四條</w:t>
      </w:r>
    </w:p>
    <w:p>
      <w:pPr>
        <w:jc w:val="both"/>
        <w:rPr>
          <w:rFonts w:hint="default" w:eastAsia="Times New Roman"/>
        </w:rPr>
      </w:pPr>
      <w:r>
        <w:rPr>
          <w:rFonts w:hint="eastAsia"/>
        </w:rPr>
        <w:t>雙方於本合約有效期限內對於機密資訊之任何溝通或討論亦為本合約所稱之「機密資訊」，除非經甲方事前書面通知指定該溝通或討論不受本合約之拘束。</w:t>
      </w:r>
      <w:r>
        <w:rPr>
          <w:rFonts w:hint="default" w:eastAsia="Times New Roman"/>
        </w:rPr>
        <w:br/>
      </w:r>
    </w:p>
    <w:p>
      <w:pPr>
        <w:jc w:val="both"/>
        <w:rPr>
          <w:rFonts w:hint="default" w:eastAsia="Times New Roman"/>
        </w:rPr>
      </w:pPr>
      <w:r>
        <w:rPr>
          <w:rFonts w:hint="eastAsia"/>
        </w:rPr>
        <w:t>第五條</w:t>
      </w:r>
      <w:r>
        <w:rPr>
          <w:rFonts w:hint="default" w:eastAsia="Times New Roman"/>
        </w:rPr>
        <w:br/>
      </w:r>
      <w:r>
        <w:rPr>
          <w:rFonts w:hint="eastAsia"/>
        </w:rPr>
        <w:t>乙方不得因甲方揭露資訊及</w:t>
      </w:r>
      <w:r>
        <w:rPr>
          <w:rFonts w:hint="default"/>
        </w:rPr>
        <w:t>/</w:t>
      </w:r>
      <w:r>
        <w:rPr>
          <w:rFonts w:hint="eastAsia"/>
        </w:rPr>
        <w:t>或機密文件，而主張甲方希望透過此次機密資訊及</w:t>
      </w:r>
      <w:r>
        <w:rPr>
          <w:rFonts w:hint="default"/>
        </w:rPr>
        <w:t>/</w:t>
      </w:r>
      <w:r>
        <w:rPr>
          <w:rFonts w:hint="eastAsia"/>
        </w:rPr>
        <w:t>或機密文件之揭露，而有任何明示或暗示之承諾或意願以促成雙方合作之約定、產品之買賣、或產品之行銷與服務之約定。</w:t>
      </w:r>
    </w:p>
    <w:p>
      <w:pPr>
        <w:jc w:val="both"/>
        <w:rPr>
          <w:rFonts w:hint="default" w:eastAsia="Times New Roman"/>
        </w:rPr>
      </w:pPr>
    </w:p>
    <w:p>
      <w:pPr>
        <w:jc w:val="both"/>
        <w:rPr>
          <w:rFonts w:hint="default" w:eastAsia="Times New Roman"/>
        </w:rPr>
      </w:pPr>
      <w:r>
        <w:rPr>
          <w:rFonts w:hint="eastAsia"/>
        </w:rPr>
        <w:t>第六條</w:t>
      </w:r>
    </w:p>
    <w:p>
      <w:pPr>
        <w:jc w:val="both"/>
        <w:rPr>
          <w:rFonts w:hint="default" w:eastAsia="Times New Roman"/>
        </w:rPr>
      </w:pPr>
      <w:r>
        <w:rPr>
          <w:rFonts w:hint="eastAsia"/>
        </w:rPr>
        <w:t>乙方不得因甲方所揭露之機密資訊，而主張就該機密資訊擁有任何著作權、專利權、商標權、營業秘密權或其他智慧財產權。且機密資訊之揭露亦不表示甲方對乙方做出任何承諾、保證、擔保、或其他類似之行為，尤其是甲方並不保證其所揭露之機密資訊絶對不犯任何第三人之商標權、專利權、著作權或其他智慧財產權。</w:t>
      </w:r>
    </w:p>
    <w:p>
      <w:pPr>
        <w:jc w:val="both"/>
        <w:rPr>
          <w:rFonts w:hint="default" w:eastAsia="Times New Roman"/>
        </w:rPr>
      </w:pPr>
    </w:p>
    <w:p>
      <w:pPr>
        <w:jc w:val="both"/>
        <w:rPr>
          <w:rFonts w:hint="default" w:eastAsia="Times New Roman"/>
        </w:rPr>
      </w:pPr>
      <w:r>
        <w:rPr>
          <w:rFonts w:hint="eastAsia"/>
        </w:rPr>
        <w:t>第七條</w:t>
      </w:r>
    </w:p>
    <w:p>
      <w:pPr>
        <w:jc w:val="both"/>
        <w:rPr>
          <w:rFonts w:hint="default" w:eastAsia="Times New Roman"/>
        </w:rPr>
      </w:pPr>
      <w:r>
        <w:rPr>
          <w:rFonts w:hint="eastAsia"/>
        </w:rPr>
        <w:t>本合約及與合約相關一切事宜，應以中華民國相關法律作為釋義與執行之準據。任何因為本合約所引起之糾紛或爭議，將以台灣台北地方法院為第一審管轄法院。若對造提出反訴，亦須在同一法院提起。</w:t>
      </w:r>
      <w:r>
        <w:rPr>
          <w:rFonts w:hint="default" w:eastAsia="Times New Roman"/>
        </w:rPr>
        <w:br/>
      </w:r>
    </w:p>
    <w:p>
      <w:pPr>
        <w:jc w:val="both"/>
        <w:rPr>
          <w:rFonts w:hint="default" w:eastAsia="Times New Roman"/>
        </w:rPr>
      </w:pPr>
      <w:r>
        <w:rPr>
          <w:rFonts w:hint="eastAsia"/>
        </w:rPr>
        <w:t>第八條</w:t>
      </w:r>
      <w:r>
        <w:rPr>
          <w:rFonts w:hint="default" w:eastAsia="Times New Roman"/>
        </w:rPr>
        <w:br/>
      </w:r>
      <w:r>
        <w:rPr>
          <w:rFonts w:hint="eastAsia"/>
        </w:rPr>
        <w:t>非經甲方書面同意，乙方不得將本合約之權利及義務轉讓給任何第三人。</w:t>
      </w:r>
      <w:r>
        <w:rPr>
          <w:rFonts w:hint="default" w:eastAsia="Times New Roman"/>
        </w:rPr>
        <w:br/>
      </w:r>
    </w:p>
    <w:p>
      <w:pPr>
        <w:jc w:val="both"/>
        <w:rPr>
          <w:rFonts w:hint="default" w:eastAsia="Times New Roman"/>
        </w:rPr>
      </w:pPr>
      <w:r>
        <w:rPr>
          <w:rFonts w:hint="eastAsia"/>
        </w:rPr>
        <w:t>第九條</w:t>
      </w:r>
      <w:r>
        <w:rPr>
          <w:rFonts w:hint="default" w:eastAsia="Times New Roman"/>
        </w:rPr>
        <w:br/>
      </w:r>
      <w:r>
        <w:rPr>
          <w:rFonts w:hint="eastAsia"/>
        </w:rPr>
        <w:t>本合約任何條款均不得被解釋為雙方抛棄該本合約之權利，或解釋為對於一方之違約表示不再追究，除非經他方書面同意表示抛棄權利或不再追究，雙方對於他方之過失或違約抛棄執行合約之規定時，亦不視為對其他或俟後之過失或違約抛棄權利。</w:t>
      </w:r>
    </w:p>
    <w:p>
      <w:pPr>
        <w:jc w:val="both"/>
        <w:rPr>
          <w:rFonts w:hint="default" w:eastAsia="Times New Roman"/>
        </w:rPr>
      </w:pPr>
    </w:p>
    <w:p>
      <w:pPr>
        <w:jc w:val="both"/>
        <w:rPr>
          <w:rFonts w:hint="default" w:eastAsia="Times New Roman"/>
        </w:rPr>
      </w:pPr>
      <w:r>
        <w:rPr>
          <w:rFonts w:hint="eastAsia"/>
        </w:rPr>
        <w:t>第十條</w:t>
      </w:r>
    </w:p>
    <w:p>
      <w:pPr>
        <w:jc w:val="both"/>
        <w:rPr>
          <w:rFonts w:hint="default" w:eastAsia="Times New Roman"/>
        </w:rPr>
      </w:pPr>
      <w:r>
        <w:rPr>
          <w:rFonts w:hint="eastAsia"/>
        </w:rPr>
        <w:t>若本合約部分條款被發現是無效或不合法時，則該部分將自動修正為能與原條文具有相同經濟上之結果但卻不違法而仍具有效力之條款，至於其他條款仍具有完全之效力。</w:t>
      </w:r>
      <w:r>
        <w:rPr>
          <w:rFonts w:hint="default" w:eastAsia="Times New Roman"/>
        </w:rPr>
        <w:br/>
      </w:r>
    </w:p>
    <w:p>
      <w:pPr>
        <w:jc w:val="both"/>
        <w:rPr>
          <w:rFonts w:hint="default" w:eastAsia="Times New Roman"/>
        </w:rPr>
      </w:pPr>
      <w:r>
        <w:rPr>
          <w:rFonts w:hint="eastAsia"/>
        </w:rPr>
        <w:t>第十一條</w:t>
      </w:r>
      <w:r>
        <w:rPr>
          <w:rFonts w:hint="default" w:eastAsia="Times New Roman"/>
        </w:rPr>
        <w:br/>
      </w:r>
      <w:r>
        <w:rPr>
          <w:rFonts w:hint="eastAsia"/>
        </w:rPr>
        <w:t>本合約所定有效之通知必須是：</w:t>
      </w:r>
      <w:r>
        <w:rPr>
          <w:rFonts w:hint="default"/>
        </w:rPr>
        <w:t>(1)</w:t>
      </w:r>
      <w:r>
        <w:rPr>
          <w:rFonts w:hint="eastAsia"/>
        </w:rPr>
        <w:t>以專人送逹、</w:t>
      </w:r>
      <w:r>
        <w:rPr>
          <w:rFonts w:hint="default"/>
        </w:rPr>
        <w:t>(2)</w:t>
      </w:r>
      <w:r>
        <w:rPr>
          <w:rFonts w:hint="eastAsia"/>
        </w:rPr>
        <w:t>由傳真或電報送逹，但須取得對方之收受確認、</w:t>
      </w:r>
      <w:r>
        <w:rPr>
          <w:rFonts w:hint="default"/>
        </w:rPr>
        <w:t>(3)</w:t>
      </w:r>
      <w:r>
        <w:rPr>
          <w:rFonts w:hint="eastAsia"/>
        </w:rPr>
        <w:t>透過如</w:t>
      </w:r>
      <w:r>
        <w:rPr>
          <w:rFonts w:hint="default"/>
        </w:rPr>
        <w:t>DHL</w:t>
      </w:r>
      <w:r>
        <w:rPr>
          <w:rFonts w:hint="eastAsia"/>
        </w:rPr>
        <w:t>、</w:t>
      </w:r>
      <w:r>
        <w:rPr>
          <w:rFonts w:hint="default"/>
        </w:rPr>
        <w:t>UPS</w:t>
      </w:r>
      <w:r>
        <w:rPr>
          <w:rFonts w:hint="eastAsia"/>
        </w:rPr>
        <w:t>等國際快遞公司送達，但須取得送達之證明、</w:t>
      </w:r>
      <w:r>
        <w:rPr>
          <w:rFonts w:hint="default"/>
        </w:rPr>
        <w:t>(4)</w:t>
      </w:r>
      <w:r>
        <w:rPr>
          <w:rFonts w:hint="eastAsia"/>
        </w:rPr>
        <w:t>利用郵局掛號、雙掛號送達。送達地址將以本合約雙方所指定地址為準，若有任何變更，必須以上述送達方式通知對方。至於送達之效力，將於對方實際收到之日或交寄後五日，以較早發生之日期視為送達。</w:t>
      </w:r>
      <w:r>
        <w:rPr>
          <w:rFonts w:hint="default" w:eastAsia="Times New Roman"/>
        </w:rPr>
        <w:br/>
      </w:r>
    </w:p>
    <w:p>
      <w:pPr>
        <w:jc w:val="both"/>
        <w:rPr>
          <w:rFonts w:hint="default" w:eastAsia="Times New Roman"/>
        </w:rPr>
      </w:pPr>
      <w:r>
        <w:rPr>
          <w:rFonts w:hint="eastAsia"/>
        </w:rPr>
        <w:t>第十二條</w:t>
      </w:r>
      <w:r>
        <w:rPr>
          <w:rFonts w:hint="default" w:eastAsia="Times New Roman"/>
        </w:rPr>
        <w:br/>
      </w:r>
      <w:r>
        <w:rPr>
          <w:rFonts w:hint="eastAsia"/>
        </w:rPr>
        <w:t>本合約為雙方當事人之間就締約目的所為之完整意思合致，本合約並取代當事人雙方在簽訂本合約前，就相同事宜所為之一切口頭或書面之初步協議、建議、或意思表示。</w:t>
      </w:r>
    </w:p>
    <w:p>
      <w:pPr>
        <w:jc w:val="both"/>
        <w:rPr>
          <w:rFonts w:hint="default" w:eastAsia="Times New Roman"/>
        </w:rPr>
      </w:pPr>
    </w:p>
    <w:p>
      <w:pPr>
        <w:jc w:val="both"/>
        <w:rPr>
          <w:rFonts w:hint="default" w:eastAsia="Times New Roman"/>
        </w:rPr>
      </w:pPr>
      <w:r>
        <w:rPr>
          <w:rFonts w:hint="eastAsia"/>
        </w:rPr>
        <w:t>第十三條</w:t>
      </w:r>
    </w:p>
    <w:p>
      <w:pPr>
        <w:jc w:val="both"/>
        <w:rPr>
          <w:rFonts w:hint="default" w:eastAsia="Times New Roman"/>
        </w:rPr>
      </w:pPr>
      <w:r>
        <w:rPr>
          <w:rFonts w:hint="eastAsia"/>
        </w:rPr>
        <w:t>有關本合約任何修改或修正，必須取得雙方書面同意後，方具效力。</w:t>
      </w:r>
    </w:p>
    <w:p>
      <w:pPr>
        <w:jc w:val="both"/>
        <w:rPr>
          <w:rFonts w:hint="default" w:eastAsia="Times New Roman"/>
        </w:rPr>
      </w:pPr>
    </w:p>
    <w:p>
      <w:pPr>
        <w:jc w:val="both"/>
        <w:rPr>
          <w:rFonts w:hint="default" w:eastAsia="Times New Roman"/>
        </w:rPr>
      </w:pPr>
      <w:r>
        <w:rPr>
          <w:rFonts w:hint="eastAsia"/>
        </w:rPr>
        <w:t>第十四條</w:t>
      </w:r>
    </w:p>
    <w:p>
      <w:pPr>
        <w:jc w:val="both"/>
        <w:rPr>
          <w:rFonts w:hint="default" w:eastAsia="Times New Roman"/>
        </w:rPr>
      </w:pPr>
      <w:r>
        <w:rPr>
          <w:rFonts w:hint="eastAsia"/>
        </w:rPr>
        <w:t>本合約壹式兩份，雙方各執一份為憑。</w:t>
      </w:r>
    </w:p>
    <w:p>
      <w:pPr>
        <w:jc w:val="both"/>
        <w:rPr>
          <w:rFonts w:hint="default" w:eastAsia="Times New Roman"/>
        </w:rPr>
      </w:pPr>
    </w:p>
    <w:p>
      <w:pPr>
        <w:jc w:val="both"/>
        <w:rPr>
          <w:rFonts w:hint="default" w:eastAsia="Times New Roman"/>
        </w:rPr>
      </w:pPr>
      <w:r>
        <w:rPr>
          <w:rFonts w:hint="eastAsia"/>
        </w:rPr>
        <w:t>立合約書人</w:t>
      </w:r>
    </w:p>
    <w:p>
      <w:pPr>
        <w:jc w:val="both"/>
        <w:rPr>
          <w:rFonts w:hint="default" w:eastAsia="Times New Roman"/>
        </w:rPr>
      </w:pPr>
    </w:p>
    <w:p>
      <w:pPr>
        <w:tabs>
          <w:tab w:val="left" w:pos="5160"/>
        </w:tabs>
        <w:jc w:val="both"/>
        <w:rPr>
          <w:rFonts w:hint="default" w:eastAsia="Times New Roman"/>
        </w:rPr>
      </w:pPr>
      <w:r>
        <w:rPr>
          <w:rFonts w:hint="eastAsia"/>
        </w:rPr>
        <w:t>甲</w:t>
      </w:r>
      <w:r>
        <w:rPr>
          <w:rFonts w:hint="default"/>
        </w:rPr>
        <w:t xml:space="preserve"> </w:t>
      </w:r>
      <w:r>
        <w:rPr>
          <w:rFonts w:hint="eastAsia"/>
        </w:rPr>
        <w:t>方：華冠通訊</w:t>
      </w:r>
      <w:r>
        <w:rPr>
          <w:rFonts w:hint="eastAsia" w:ascii="標楷體" w:hAnsi="標楷體"/>
        </w:rPr>
        <w:t>股份有限公司</w:t>
      </w:r>
      <w:r>
        <w:rPr>
          <w:rFonts w:hint="default" w:ascii="標楷體" w:eastAsia="Times New Roman"/>
        </w:rPr>
        <w:tab/>
      </w:r>
      <w:r>
        <w:rPr>
          <w:rFonts w:hint="eastAsia"/>
        </w:rPr>
        <w:t>乙</w:t>
      </w:r>
      <w:r>
        <w:rPr>
          <w:rFonts w:hint="default"/>
        </w:rPr>
        <w:t xml:space="preserve"> </w:t>
      </w:r>
      <w:r>
        <w:rPr>
          <w:rFonts w:hint="eastAsia"/>
        </w:rPr>
        <w:t>方：</w:t>
      </w:r>
      <w:r>
        <w:rPr>
          <w:rFonts w:hint="eastAsia" w:ascii="標楷體"/>
          <w:sz w:val="22"/>
          <w:u w:val="single"/>
        </w:rPr>
        <w:t>_______________</w:t>
      </w:r>
      <w:r>
        <w:rPr>
          <w:rFonts w:hint="eastAsia" w:ascii="標楷體" w:hAnsi="標楷體"/>
        </w:rPr>
        <w:t>股份有限公司</w:t>
      </w:r>
    </w:p>
    <w:p>
      <w:pPr>
        <w:jc w:val="both"/>
        <w:rPr>
          <w:rFonts w:hint="default" w:eastAsia="Times New Roman"/>
        </w:rPr>
      </w:pPr>
    </w:p>
    <w:p>
      <w:pPr>
        <w:tabs>
          <w:tab w:val="left" w:pos="5160"/>
        </w:tabs>
        <w:jc w:val="both"/>
        <w:rPr>
          <w:rFonts w:hint="default" w:eastAsia="Times New Roman"/>
        </w:rPr>
      </w:pPr>
      <w:r>
        <w:rPr>
          <w:rFonts w:hint="eastAsia"/>
        </w:rPr>
        <w:t>代表人：</w:t>
      </w:r>
      <w:r>
        <w:rPr>
          <w:rFonts w:hint="default"/>
        </w:rPr>
        <w:t xml:space="preserve">                        </w:t>
      </w:r>
      <w:r>
        <w:rPr>
          <w:rFonts w:hint="default"/>
        </w:rPr>
        <w:tab/>
      </w:r>
      <w:r>
        <w:rPr>
          <w:rFonts w:hint="eastAsia"/>
        </w:rPr>
        <w:t>代表人：</w:t>
      </w:r>
    </w:p>
    <w:p>
      <w:pPr>
        <w:jc w:val="both"/>
        <w:rPr>
          <w:rFonts w:hint="default" w:eastAsia="Times New Roman"/>
        </w:rPr>
      </w:pPr>
    </w:p>
    <w:p>
      <w:pPr>
        <w:tabs>
          <w:tab w:val="left" w:pos="5160"/>
        </w:tabs>
        <w:jc w:val="both"/>
        <w:rPr>
          <w:rFonts w:hint="default" w:eastAsia="Times New Roman"/>
        </w:rPr>
      </w:pPr>
      <w:r>
        <w:rPr>
          <w:rFonts w:hint="eastAsia"/>
        </w:rPr>
        <w:t>地</w:t>
      </w:r>
      <w:r>
        <w:rPr>
          <w:rFonts w:hint="default"/>
        </w:rPr>
        <w:t xml:space="preserve">  </w:t>
      </w:r>
      <w:r>
        <w:rPr>
          <w:rFonts w:hint="eastAsia"/>
        </w:rPr>
        <w:t>址：</w:t>
      </w:r>
      <w:r>
        <w:rPr>
          <w:rFonts w:hint="default"/>
        </w:rPr>
        <w:t xml:space="preserve">                        </w:t>
      </w:r>
      <w:r>
        <w:rPr>
          <w:rFonts w:hint="default"/>
        </w:rPr>
        <w:tab/>
      </w:r>
      <w:r>
        <w:rPr>
          <w:rFonts w:hint="eastAsia"/>
        </w:rPr>
        <w:t>地</w:t>
      </w:r>
      <w:r>
        <w:rPr>
          <w:rFonts w:hint="default"/>
        </w:rPr>
        <w:t xml:space="preserve">  </w:t>
      </w:r>
      <w:r>
        <w:rPr>
          <w:rFonts w:hint="eastAsia"/>
        </w:rPr>
        <w:t>址：</w:t>
      </w:r>
    </w:p>
    <w:p>
      <w:pPr>
        <w:jc w:val="distribute"/>
        <w:rPr>
          <w:rFonts w:hint="default" w:eastAsia="Times New Roman"/>
        </w:rPr>
      </w:pPr>
    </w:p>
    <w:p>
      <w:pPr>
        <w:jc w:val="distribute"/>
        <w:rPr>
          <w:rFonts w:hint="default" w:eastAsia="Times New Roman"/>
        </w:rPr>
      </w:pPr>
    </w:p>
    <w:p>
      <w:pPr>
        <w:jc w:val="distribute"/>
        <w:rPr>
          <w:rFonts w:hint="default" w:eastAsia="Times New Roman"/>
        </w:rPr>
      </w:pPr>
      <w:r>
        <w:rPr>
          <w:rFonts w:hint="eastAsia"/>
        </w:rPr>
        <w:t>中</w:t>
      </w:r>
      <w:r>
        <w:rPr>
          <w:rFonts w:hint="default"/>
        </w:rPr>
        <w:t xml:space="preserve"> </w:t>
      </w:r>
      <w:r>
        <w:rPr>
          <w:rFonts w:hint="eastAsia"/>
        </w:rPr>
        <w:t>華</w:t>
      </w:r>
      <w:r>
        <w:rPr>
          <w:rFonts w:hint="default"/>
        </w:rPr>
        <w:t xml:space="preserve"> </w:t>
      </w:r>
      <w:r>
        <w:rPr>
          <w:rFonts w:hint="eastAsia"/>
        </w:rPr>
        <w:t>民</w:t>
      </w:r>
      <w:r>
        <w:rPr>
          <w:rFonts w:hint="default"/>
        </w:rPr>
        <w:t xml:space="preserve"> </w:t>
      </w:r>
      <w:r>
        <w:rPr>
          <w:rFonts w:hint="eastAsia"/>
        </w:rPr>
        <w:t>國</w:t>
      </w:r>
      <w:r>
        <w:rPr>
          <w:rFonts w:hint="default"/>
        </w:rPr>
        <w:t xml:space="preserve">   </w:t>
      </w:r>
      <w:r>
        <w:rPr>
          <w:rFonts w:hint="eastAsia"/>
        </w:rPr>
        <w:t>年</w:t>
      </w:r>
      <w:r>
        <w:rPr>
          <w:rFonts w:hint="default"/>
        </w:rPr>
        <w:t xml:space="preserve">      </w:t>
      </w:r>
      <w:r>
        <w:rPr>
          <w:rFonts w:hint="eastAsia"/>
        </w:rPr>
        <w:t>月</w:t>
      </w:r>
      <w:r>
        <w:rPr>
          <w:rFonts w:hint="default"/>
        </w:rPr>
        <w:t xml:space="preserve">    </w:t>
      </w:r>
      <w:r>
        <w:rPr>
          <w:rFonts w:hint="eastAsia"/>
        </w:rPr>
        <w:t>日</w:t>
      </w:r>
    </w:p>
    <w:sectPr>
      <w:headerReference r:id="rId4" w:type="default"/>
      <w:footerReference r:id="rId5" w:type="default"/>
      <w:pgSz w:w="11906" w:h="16838"/>
      <w:pgMar w:top="1021" w:right="1418" w:bottom="1021" w:left="1418" w:header="851" w:footer="992" w:gutter="0"/>
      <w:cols w:space="425" w:num="1"/>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80F3C52" w:usb2="00000016" w:usb3="00000000" w:csb0="0004001F" w:csb1="00000000"/>
  </w:font>
  <w:font w:name="新細明體">
    <w:panose1 w:val="02020500000000000000"/>
    <w:charset w:val="88"/>
    <w:family w:val="roman"/>
    <w:pitch w:val="default"/>
    <w:sig w:usb0="A00002FF" w:usb1="28CFFCFA" w:usb2="00000016" w:usb3="00000000" w:csb0="00100001" w:csb1="00000000"/>
  </w:font>
  <w:font w:name="細明體">
    <w:panose1 w:val="02020509000000000000"/>
    <w:charset w:val="88"/>
    <w:family w:val="moder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標楷體">
    <w:panose1 w:val="03000509000000000000"/>
    <w:charset w:val="88"/>
    <w:family w:val="script"/>
    <w:pitch w:val="default"/>
    <w:sig w:usb0="00000003" w:usb1="082E0000" w:usb2="00000016" w:usb3="00000000" w:csb0="0010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New Roman CE">
    <w:altName w:val="Arial"/>
    <w:panose1 w:val="00000000000000000000"/>
    <w:charset w:val="EE"/>
    <w:family w:val="roman"/>
    <w:pitch w:val="default"/>
    <w:sig w:usb0="00000000" w:usb1="00000000" w:usb2="00000000" w:usb3="00000000" w:csb0="00000002" w:csb1="00000000"/>
  </w:font>
  <w:font w:name="Times New Roman Cyr">
    <w:altName w:val="Arial"/>
    <w:panose1 w:val="00000000000000000000"/>
    <w:charset w:val="CC"/>
    <w:family w:val="roman"/>
    <w:pitch w:val="default"/>
    <w:sig w:usb0="00000000" w:usb1="00000000" w:usb2="00000000" w:usb3="00000000" w:csb0="00000004" w:csb1="00000000"/>
  </w:font>
  <w:font w:name="Times New Roman Greek">
    <w:altName w:val="Arial"/>
    <w:panose1 w:val="00000000000000000000"/>
    <w:charset w:val="A1"/>
    <w:family w:val="roman"/>
    <w:pitch w:val="default"/>
    <w:sig w:usb0="00000000" w:usb1="00000000" w:usb2="00000000" w:usb3="00000000" w:csb0="00000008" w:csb1="00000000"/>
  </w:font>
  <w:font w:name="Times New Roman Tur">
    <w:altName w:val="Arial"/>
    <w:panose1 w:val="00000000000000000000"/>
    <w:charset w:val="A2"/>
    <w:family w:val="roman"/>
    <w:pitch w:val="default"/>
    <w:sig w:usb0="00000000" w:usb1="00000000" w:usb2="00000000" w:usb3="00000000" w:csb0="00000010" w:csb1="00000000"/>
  </w:font>
  <w:font w:name="Times New Roman (Hebrew)">
    <w:altName w:val="Arial"/>
    <w:panose1 w:val="00000000000000000000"/>
    <w:charset w:val="B1"/>
    <w:family w:val="roman"/>
    <w:pitch w:val="default"/>
    <w:sig w:usb0="00000000" w:usb1="00000000" w:usb2="00000000" w:usb3="00000000" w:csb0="00000020" w:csb1="00000000"/>
  </w:font>
  <w:font w:name="Times New Roman (Arabic)">
    <w:altName w:val="Arial"/>
    <w:panose1 w:val="00000000000000000000"/>
    <w:charset w:val="B2"/>
    <w:family w:val="roman"/>
    <w:pitch w:val="default"/>
    <w:sig w:usb0="00000000" w:usb1="00000000" w:usb2="00000000" w:usb3="00000000" w:csb0="00000040" w:csb1="00000000"/>
  </w:font>
  <w:font w:name="Times New Roman Baltic">
    <w:altName w:val="Arial"/>
    <w:panose1 w:val="00000000000000000000"/>
    <w:charset w:val="BA"/>
    <w:family w:val="roman"/>
    <w:pitch w:val="default"/>
    <w:sig w:usb0="00000000" w:usb1="00000000" w:usb2="00000000" w:usb3="00000000" w:csb0="00000080" w:csb1="00000000"/>
  </w:font>
  <w:font w:name="Times New Roman (Vietnamese)">
    <w:altName w:val="Arial"/>
    <w:panose1 w:val="00000000000000000000"/>
    <w:charset w:val="A3"/>
    <w:family w:val="roman"/>
    <w:pitch w:val="default"/>
    <w:sig w:usb0="00000000" w:usb1="00000000" w:usb2="00000000" w:usb3="00000000" w:csb0="00000100" w:csb1="00000000"/>
  </w:font>
  <w:font w:name="Arial CE">
    <w:altName w:val="Times New Roman"/>
    <w:panose1 w:val="00000000000000000000"/>
    <w:charset w:val="EE"/>
    <w:family w:val="swiss"/>
    <w:pitch w:val="default"/>
    <w:sig w:usb0="00000000" w:usb1="00000000" w:usb2="00000000" w:usb3="00000000" w:csb0="00000002" w:csb1="00000000"/>
  </w:font>
  <w:font w:name="Arial Cyr">
    <w:altName w:val="Times New Roman"/>
    <w:panose1 w:val="00000000000000000000"/>
    <w:charset w:val="CC"/>
    <w:family w:val="swiss"/>
    <w:pitch w:val="default"/>
    <w:sig w:usb0="00000000" w:usb1="00000000" w:usb2="00000000" w:usb3="00000000" w:csb0="00000004" w:csb1="00000000"/>
  </w:font>
  <w:font w:name="Arial Greek">
    <w:altName w:val="Times New Roman"/>
    <w:panose1 w:val="00000000000000000000"/>
    <w:charset w:val="A1"/>
    <w:family w:val="swiss"/>
    <w:pitch w:val="default"/>
    <w:sig w:usb0="00000000" w:usb1="00000000" w:usb2="00000000" w:usb3="00000000" w:csb0="00000008" w:csb1="00000000"/>
  </w:font>
  <w:font w:name="Arial Tur">
    <w:altName w:val="Times New Roman"/>
    <w:panose1 w:val="00000000000000000000"/>
    <w:charset w:val="A2"/>
    <w:family w:val="swiss"/>
    <w:pitch w:val="default"/>
    <w:sig w:usb0="00000000" w:usb1="00000000" w:usb2="00000000" w:usb3="00000000" w:csb0="00000010" w:csb1="00000000"/>
  </w:font>
  <w:font w:name="Arial (Hebrew)">
    <w:altName w:val="Times New Roman"/>
    <w:panose1 w:val="00000000000000000000"/>
    <w:charset w:val="B1"/>
    <w:family w:val="swiss"/>
    <w:pitch w:val="default"/>
    <w:sig w:usb0="00000000" w:usb1="00000000" w:usb2="00000000" w:usb3="00000000" w:csb0="00000020" w:csb1="00000000"/>
  </w:font>
  <w:font w:name="Arial (Arabic)">
    <w:altName w:val="Times New Roman"/>
    <w:panose1 w:val="00000000000000000000"/>
    <w:charset w:val="B2"/>
    <w:family w:val="swiss"/>
    <w:pitch w:val="default"/>
    <w:sig w:usb0="00000000" w:usb1="00000000" w:usb2="00000000" w:usb3="00000000" w:csb0="00000040" w:csb1="00000000"/>
  </w:font>
  <w:font w:name="Arial Baltic">
    <w:altName w:val="Times New Roman"/>
    <w:panose1 w:val="00000000000000000000"/>
    <w:charset w:val="BA"/>
    <w:family w:val="swiss"/>
    <w:pitch w:val="default"/>
    <w:sig w:usb0="00000000" w:usb1="00000000" w:usb2="00000000" w:usb3="00000000" w:csb0="00000080" w:csb1="00000000"/>
  </w:font>
  <w:font w:name="Arial (Vietnamese)">
    <w:altName w:val="Times New Roman"/>
    <w:panose1 w:val="00000000000000000000"/>
    <w:charset w:val="A3"/>
    <w:family w:val="swiss"/>
    <w:pitch w:val="default"/>
    <w:sig w:usb0="00000000" w:usb1="00000000" w:usb2="00000000" w:usb3="00000000" w:csb0="00000100" w:csb1="00000000"/>
  </w:font>
  <w:font w:name="Courier New CE">
    <w:altName w:val="Courier New"/>
    <w:panose1 w:val="00000000000000000000"/>
    <w:charset w:val="EE"/>
    <w:family w:val="modern"/>
    <w:pitch w:val="default"/>
    <w:sig w:usb0="00000000" w:usb1="00000000" w:usb2="00000000" w:usb3="00000000" w:csb0="00000002" w:csb1="00000000"/>
  </w:font>
  <w:font w:name="Courier New Cyr">
    <w:altName w:val="Courier New"/>
    <w:panose1 w:val="00000000000000000000"/>
    <w:charset w:val="CC"/>
    <w:family w:val="modern"/>
    <w:pitch w:val="default"/>
    <w:sig w:usb0="00000000" w:usb1="00000000" w:usb2="00000000" w:usb3="00000000" w:csb0="00000004" w:csb1="00000000"/>
  </w:font>
  <w:font w:name="Courier New Greek">
    <w:altName w:val="Courier New"/>
    <w:panose1 w:val="00000000000000000000"/>
    <w:charset w:val="A1"/>
    <w:family w:val="modern"/>
    <w:pitch w:val="default"/>
    <w:sig w:usb0="00000000" w:usb1="00000000" w:usb2="00000000" w:usb3="00000000" w:csb0="00000008" w:csb1="00000000"/>
  </w:font>
  <w:font w:name="Courier New Tur">
    <w:altName w:val="Courier New"/>
    <w:panose1 w:val="00000000000000000000"/>
    <w:charset w:val="A2"/>
    <w:family w:val="modern"/>
    <w:pitch w:val="default"/>
    <w:sig w:usb0="00000000" w:usb1="00000000" w:usb2="00000000" w:usb3="00000000" w:csb0="00000010" w:csb1="00000000"/>
  </w:font>
  <w:font w:name="Courier New (Hebrew)">
    <w:altName w:val="Courier New"/>
    <w:panose1 w:val="00000000000000000000"/>
    <w:charset w:val="B1"/>
    <w:family w:val="modern"/>
    <w:pitch w:val="default"/>
    <w:sig w:usb0="00000000" w:usb1="00000000" w:usb2="00000000" w:usb3="00000000" w:csb0="00000020" w:csb1="00000000"/>
  </w:font>
  <w:font w:name="Courier New (Arabic)">
    <w:altName w:val="Courier New"/>
    <w:panose1 w:val="00000000000000000000"/>
    <w:charset w:val="B2"/>
    <w:family w:val="modern"/>
    <w:pitch w:val="default"/>
    <w:sig w:usb0="00000000" w:usb1="00000000" w:usb2="00000000" w:usb3="00000000" w:csb0="00000040" w:csb1="00000000"/>
  </w:font>
  <w:font w:name="Courier New Baltic">
    <w:altName w:val="Courier New"/>
    <w:panose1 w:val="00000000000000000000"/>
    <w:charset w:val="BA"/>
    <w:family w:val="modern"/>
    <w:pitch w:val="default"/>
    <w:sig w:usb0="00000000" w:usb1="00000000" w:usb2="00000000" w:usb3="00000000" w:csb0="00000080" w:csb1="00000000"/>
  </w:font>
  <w:font w:name="Courier New (Vietnamese)">
    <w:altName w:val="Courier New"/>
    <w:panose1 w:val="00000000000000000000"/>
    <w:charset w:val="A3"/>
    <w:family w:val="modern"/>
    <w:pitch w:val="default"/>
    <w:sig w:usb0="00000000" w:usb1="00000000" w:usb2="00000000" w:usb3="00000000" w:csb0="00000100" w:csb1="00000000"/>
  </w:font>
  <w:font w:name="PMingLiU Western">
    <w:altName w:val="新細明體"/>
    <w:panose1 w:val="00000000000000000000"/>
    <w:charset w:val="00"/>
    <w:family w:val="roman"/>
    <w:pitch w:val="default"/>
    <w:sig w:usb0="00000000" w:usb1="00000000" w:usb2="00000000" w:usb3="00000000" w:csb0="00000001" w:csb1="00000000"/>
  </w:font>
  <w:font w:name="MingLiU Western">
    <w:altName w:val="細明體"/>
    <w:panose1 w:val="00000000000000000000"/>
    <w:charset w:val="00"/>
    <w:family w:val="modern"/>
    <w:pitch w:val="default"/>
    <w:sig w:usb0="00000000" w:usb1="00000000" w:usb2="00000000" w:usb3="00000000" w:csb0="00000001" w:csb1="00000000"/>
  </w:font>
  <w:font w:name="Cambria Math CE">
    <w:altName w:val="Cambria"/>
    <w:panose1 w:val="00000000000000000000"/>
    <w:charset w:val="EE"/>
    <w:family w:val="roman"/>
    <w:pitch w:val="default"/>
    <w:sig w:usb0="00000000" w:usb1="00000000" w:usb2="00000000" w:usb3="00000000" w:csb0="00000002" w:csb1="00000000"/>
  </w:font>
  <w:font w:name="Cambria Math Cyr">
    <w:altName w:val="Cambria"/>
    <w:panose1 w:val="00000000000000000000"/>
    <w:charset w:val="CC"/>
    <w:family w:val="roman"/>
    <w:pitch w:val="default"/>
    <w:sig w:usb0="00000000" w:usb1="00000000" w:usb2="00000000" w:usb3="00000000" w:csb0="00000004" w:csb1="00000000"/>
  </w:font>
  <w:font w:name="Cambria Math Greek">
    <w:altName w:val="Cambria"/>
    <w:panose1 w:val="00000000000000000000"/>
    <w:charset w:val="A1"/>
    <w:family w:val="roman"/>
    <w:pitch w:val="default"/>
    <w:sig w:usb0="00000000" w:usb1="00000000" w:usb2="00000000" w:usb3="00000000" w:csb0="00000008" w:csb1="00000000"/>
  </w:font>
  <w:font w:name="Cambria Math Tur">
    <w:altName w:val="Cambria"/>
    <w:panose1 w:val="00000000000000000000"/>
    <w:charset w:val="A2"/>
    <w:family w:val="roman"/>
    <w:pitch w:val="default"/>
    <w:sig w:usb0="00000000" w:usb1="00000000" w:usb2="00000000" w:usb3="00000000" w:csb0="00000010" w:csb1="00000000"/>
  </w:font>
  <w:font w:name="Cambria Math Baltic">
    <w:altName w:val="Cambria"/>
    <w:panose1 w:val="00000000000000000000"/>
    <w:charset w:val="BA"/>
    <w:family w:val="roman"/>
    <w:pitch w:val="default"/>
    <w:sig w:usb0="00000000" w:usb1="00000000" w:usb2="00000000" w:usb3="00000000" w:csb0="00000080" w:csb1="00000000"/>
  </w:font>
  <w:font w:name="Cambria Math (Vietnamese)">
    <w:altName w:val="Cambria"/>
    <w:panose1 w:val="00000000000000000000"/>
    <w:charset w:val="A3"/>
    <w:family w:val="roman"/>
    <w:pitch w:val="default"/>
    <w:sig w:usb0="00000000" w:usb1="00000000" w:usb2="00000000" w:usb3="00000000" w:csb0="00000100" w:csb1="00000000"/>
  </w:font>
  <w:font w:name="DFKai-SB Western">
    <w:altName w:val="新細明體"/>
    <w:panose1 w:val="00000000000000000000"/>
    <w:charset w:val="00"/>
    <w:family w:val="script"/>
    <w:pitch w:val="default"/>
    <w:sig w:usb0="00000000" w:usb1="00000000" w:usb2="00000000" w:usb3="00000000" w:csb0="00000001" w:csb1="00000000"/>
  </w:font>
  <w:font w:name="Cambria CE">
    <w:altName w:val="Cambria"/>
    <w:panose1 w:val="00000000000000000000"/>
    <w:charset w:val="EE"/>
    <w:family w:val="roman"/>
    <w:pitch w:val="default"/>
    <w:sig w:usb0="00000000" w:usb1="00000000" w:usb2="00000000" w:usb3="00000000" w:csb0="00000002" w:csb1="00000000"/>
  </w:font>
  <w:font w:name="Cambria Cyr">
    <w:altName w:val="Cambria"/>
    <w:panose1 w:val="00000000000000000000"/>
    <w:charset w:val="CC"/>
    <w:family w:val="roman"/>
    <w:pitch w:val="default"/>
    <w:sig w:usb0="00000000" w:usb1="00000000" w:usb2="00000000" w:usb3="00000000" w:csb0="00000004" w:csb1="00000000"/>
  </w:font>
  <w:font w:name="Cambria Greek">
    <w:altName w:val="Cambria"/>
    <w:panose1 w:val="00000000000000000000"/>
    <w:charset w:val="A1"/>
    <w:family w:val="roman"/>
    <w:pitch w:val="default"/>
    <w:sig w:usb0="00000000" w:usb1="00000000" w:usb2="00000000" w:usb3="00000000" w:csb0="00000008" w:csb1="00000000"/>
  </w:font>
  <w:font w:name="Cambria Tur">
    <w:altName w:val="Cambria"/>
    <w:panose1 w:val="00000000000000000000"/>
    <w:charset w:val="A2"/>
    <w:family w:val="roman"/>
    <w:pitch w:val="default"/>
    <w:sig w:usb0="00000000" w:usb1="00000000" w:usb2="00000000" w:usb3="00000000" w:csb0="00000010" w:csb1="00000000"/>
  </w:font>
  <w:font w:name="Cambria Baltic">
    <w:altName w:val="Cambria"/>
    <w:panose1 w:val="00000000000000000000"/>
    <w:charset w:val="BA"/>
    <w:family w:val="roman"/>
    <w:pitch w:val="default"/>
    <w:sig w:usb0="00000000" w:usb1="00000000" w:usb2="00000000" w:usb3="00000000" w:csb0="00000080" w:csb1="00000000"/>
  </w:font>
  <w:font w:name="Cambria (Vietnamese)">
    <w:altName w:val="Cambria"/>
    <w:panose1 w:val="00000000000000000000"/>
    <w:charset w:val="A3"/>
    <w:family w:val="roman"/>
    <w:pitch w:val="default"/>
    <w:sig w:usb0="00000000" w:usb1="00000000" w:usb2="00000000" w:usb3="00000000" w:csb0="00000100" w:csb1="00000000"/>
  </w:font>
  <w:font w:name="Calibri CE">
    <w:altName w:val="Calibri"/>
    <w:panose1 w:val="00000000000000000000"/>
    <w:charset w:val="EE"/>
    <w:family w:val="swiss"/>
    <w:pitch w:val="default"/>
    <w:sig w:usb0="00000000" w:usb1="00000000" w:usb2="00000000" w:usb3="00000000" w:csb0="00000002" w:csb1="00000000"/>
  </w:font>
  <w:font w:name="Calibri Cyr">
    <w:altName w:val="Calibri"/>
    <w:panose1 w:val="00000000000000000000"/>
    <w:charset w:val="CC"/>
    <w:family w:val="swiss"/>
    <w:pitch w:val="default"/>
    <w:sig w:usb0="00000000" w:usb1="00000000" w:usb2="00000000" w:usb3="00000000" w:csb0="00000004" w:csb1="00000000"/>
  </w:font>
  <w:font w:name="Calibri Greek">
    <w:altName w:val="Calibri"/>
    <w:panose1 w:val="00000000000000000000"/>
    <w:charset w:val="A1"/>
    <w:family w:val="swiss"/>
    <w:pitch w:val="default"/>
    <w:sig w:usb0="00000000" w:usb1="00000000" w:usb2="00000000" w:usb3="00000000" w:csb0="00000008" w:csb1="00000000"/>
  </w:font>
  <w:font w:name="Calibri Tur">
    <w:altName w:val="Calibri"/>
    <w:panose1 w:val="00000000000000000000"/>
    <w:charset w:val="A2"/>
    <w:family w:val="swiss"/>
    <w:pitch w:val="default"/>
    <w:sig w:usb0="00000000" w:usb1="00000000" w:usb2="00000000" w:usb3="00000000" w:csb0="00000010" w:csb1="00000000"/>
  </w:font>
  <w:font w:name="Calibri Baltic">
    <w:altName w:val="Calibri"/>
    <w:panose1 w:val="00000000000000000000"/>
    <w:charset w:val="BA"/>
    <w:family w:val="swiss"/>
    <w:pitch w:val="default"/>
    <w:sig w:usb0="00000000" w:usb1="00000000" w:usb2="00000000" w:usb3="00000000" w:csb0="00000080" w:csb1="00000000"/>
  </w:font>
  <w:font w:name="Calibri (Vietnamese)">
    <w:altName w:val="Calibri"/>
    <w:panose1 w:val="00000000000000000000"/>
    <w:charset w:val="A3"/>
    <w:family w:val="swiss"/>
    <w:pitch w:val="default"/>
    <w:sig w:usb0="00000000"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rPr>
        <w:rStyle w:val="6"/>
        <w:rFonts w:hint="default"/>
      </w:rPr>
    </w:pPr>
    <w:r>
      <w:rPr>
        <w:rFonts w:hint="default"/>
      </w:rPr>
      <w:fldChar w:fldCharType="begin"/>
    </w:r>
    <w:r>
      <w:rPr>
        <w:rStyle w:val="6"/>
        <w:rFonts w:hint="default" w:eastAsia="標楷體"/>
      </w:rPr>
      <w:instrText xml:space="preserve">PAGE  </w:instrText>
    </w:r>
    <w:r>
      <w:rPr>
        <w:rFonts w:hint="default" w:eastAsia="標楷體"/>
      </w:rPr>
      <w:fldChar w:fldCharType="separate"/>
    </w:r>
    <w:r>
      <w:rPr>
        <w:rStyle w:val="6"/>
        <w:rFonts w:hint="default" w:eastAsia="標楷體"/>
        <w:lang/>
      </w:rPr>
      <w:t>1</w:t>
    </w:r>
    <w:r>
      <w:rPr>
        <w:rFonts w:hint="default" w:eastAsia="標楷體"/>
        <w:lang/>
      </w:rPr>
      <w:fldChar w:fldCharType="end"/>
    </w:r>
  </w:p>
  <w:p>
    <w:pPr>
      <w:pStyle w:val="2"/>
      <w:rPr>
        <w:rFonts w:hint="default"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eastAsia="Times New Roman"/>
      </w:rPr>
    </w:pPr>
    <w:r>
      <w:rPr>
        <w:rFonts w:hint="default" w:ascii="Times New Roman" w:hAnsi="Times New Roman" w:eastAsia="Times New Roman"/>
        <w:kern w:val="2"/>
        <w:sz w:val="24"/>
        <w:lang/>
      </w:rPr>
      <w:pict>
        <v:shape id="_x0000_s1026" type="#_x0000_t75" style="position:absolute;left:0;margin-left:358.65pt;margin-top:-28.35pt;height:35.75pt;width:102pt;mso-wrap-distance-bottom:0pt;mso-wrap-distance-left:9pt;mso-wrap-distance-right:9pt;mso-wrap-distance-top:0pt;rotation:0f;z-index:-251657216;" o:ole="t" fillcolor="#FFFFFF" filled="f" o:preferrelative="t" stroked="f" coordorigin="0,0" coordsize="21600,21600" wrapcoords="-94 0 -94 21333 21600 21333 21600 0 -94 0">
          <v:fill on="f" color2="#FFFFFF" focus="0%"/>
          <v:imagedata gain="65536f" blacklevel="0f" gamma="0" o:title="" r:id="rId2"/>
          <o:lock v:ext="edit" position="f" selection="f" grouping="f" rotation="f" cropping="f" text="f" aspectratio="t"/>
          <w10:wrap type="square"/>
        </v:shape>
        <o:OLEObject Type="Embed" ProgID="Msxml2.SAXXMLReader.5.0" ShapeID="_x0000_s1026" DrawAspect="Content" ObjectID="_1025" r:id="rId1"/>
      </w:pict>
    </w:r>
    <w:r>
      <w:rPr>
        <w:rFonts w:hint="default" w:ascii="Times New Roman" w:hAnsi="Times New Roman" w:eastAsia="Times New Roman"/>
        <w:kern w:val="2"/>
        <w:sz w:val="24"/>
        <w:lang/>
      </w:rPr>
      <w:pict>
        <v:line id="Line 3" o:spid="_x0000_s1025" style="position:absolute;left:0;flip:y;margin-left:-10.3pt;margin-top:12.5pt;height:0.05pt;width:486pt;rotation:0f;z-index:251658240;" o:ole="f" fillcolor="#FFFFFF" filled="f" o:preferrelative="t" stroked="t" coordsize="21600,21600" o:allowincell="f">
          <v:fill on="f" color2="#FFFFFF" focus="0%"/>
          <v:stroke weight="1pt" color="#000000" color2="#FFFFFF" miterlimit="2"/>
          <v:imagedata gain="65536f" blacklevel="0f" gamma="0"/>
          <o:lock v:ext="edit" position="f" selection="f" grouping="f" rotation="f" cropping="f" text="f" aspectratio="f"/>
        </v:line>
      </w:pict>
    </w:r>
    <w:r>
      <w:rPr>
        <w:rFonts w:hint="default" w:ascii="Arial" w:hAnsi="Arial"/>
        <w:b/>
        <w:sz w:val="16"/>
        <w:lang/>
      </w:rPr>
      <w:t>Confidential</w:t>
    </w:r>
  </w:p>
  <w:p>
    <w:pPr>
      <w:pStyle w:val="3"/>
      <w:rPr>
        <w:rFonts w:hint="default"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1">
      <w:start w:val="1"/>
      <w:numFmt w:val="taiwaneseCountingThousand"/>
      <w:lvlText w:val="（%1）"/>
      <w:lvlJc w:val="left"/>
      <w:pPr>
        <w:tabs>
          <w:tab w:val="left" w:pos="1200"/>
        </w:tabs>
        <w:ind w:left="1200" w:hanging="720"/>
      </w:pPr>
      <w:rPr>
        <w:rFonts w:hint="default" w:ascii="Times New Roman"/>
        <w:u w:val="none" w:color="auto"/>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
    <w:nsid w:val="00000001"/>
    <w:multiLevelType w:val="multilevel"/>
    <w:tmpl w:val="00000001"/>
    <w:lvl w:ilvl="0" w:tentative="1">
      <w:start w:val="1"/>
      <w:numFmt w:val="taiwaneseCountingThousand"/>
      <w:lvlText w:val="（%1）"/>
      <w:lvlJc w:val="left"/>
      <w:pPr>
        <w:tabs>
          <w:tab w:val="left" w:pos="1200"/>
        </w:tabs>
        <w:ind w:left="1200" w:hanging="720"/>
      </w:pPr>
      <w:rPr>
        <w:rFonts w:hint="default" w:ascii="Times New Roman"/>
        <w:u w:val="none" w:color="auto"/>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3">
    <w:nsid w:val="00000003"/>
    <w:multiLevelType w:val="multilevel"/>
    <w:tmpl w:val="00000003"/>
    <w:lvl w:ilvl="0" w:tentative="1">
      <w:start w:val="1"/>
      <w:numFmt w:val="taiwaneseCountingThousand"/>
      <w:lvlText w:val="（%1）"/>
      <w:lvlJc w:val="left"/>
      <w:pPr>
        <w:tabs>
          <w:tab w:val="left" w:pos="1155"/>
        </w:tabs>
        <w:ind w:left="1155" w:hanging="675"/>
      </w:pPr>
      <w:rPr>
        <w:rFonts w:hint="default" w:ascii="Times New Roman"/>
        <w:u w:val="none" w:color="auto"/>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1"/>
  </w:num>
  <w:num w:numId="2">
    <w:abstractNumId w:val="3"/>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bordersDoNotSurroundHeader w:val="1"/>
  <w:bordersDoNotSurroundFooter w:val="1"/>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style w:type="paragraph" w:default="1" w:styleId="1">
    <w:name w:val="Normal"/>
    <w:pPr>
      <w:widowControl w:val="0"/>
    </w:pPr>
    <w:rPr>
      <w:rFonts w:hint="eastAsia" w:ascii="Times New Roman" w:hAnsi="Times New Roman" w:eastAsia="標楷體"/>
      <w:kern w:val="2"/>
      <w:sz w:val="24"/>
      <w:lang w:val="en-US" w:eastAsia="zh-TW"/>
    </w:rPr>
  </w:style>
  <w:style w:type="character" w:default="1" w:styleId="5">
    <w:name w:val="Default Paragraph Font"/>
    <w:rPr>
      <w:rFonts w:hint="default"/>
    </w:rPr>
  </w:style>
  <w:style w:type="paragraph" w:styleId="2">
    <w:name w:val="footer"/>
    <w:basedOn w:val="1"/>
    <w:link w:val="8"/>
    <w:pPr>
      <w:tabs>
        <w:tab w:val="center" w:pos="4153"/>
        <w:tab w:val="right" w:pos="8306"/>
      </w:tabs>
      <w:snapToGrid w:val="0"/>
    </w:pPr>
    <w:rPr>
      <w:rFonts w:hint="eastAsia" w:ascii="Times New Roman" w:hAnsi="Times New Roman" w:eastAsia="標楷體"/>
    </w:rPr>
  </w:style>
  <w:style w:type="paragraph" w:styleId="3">
    <w:name w:val="header"/>
    <w:basedOn w:val="1"/>
    <w:link w:val="10"/>
    <w:pPr>
      <w:tabs>
        <w:tab w:val="center" w:pos="4153"/>
        <w:tab w:val="right" w:pos="8306"/>
      </w:tabs>
      <w:snapToGrid w:val="0"/>
    </w:pPr>
    <w:rPr>
      <w:rFonts w:hint="eastAsia" w:ascii="Times New Roman" w:hAnsi="Times New Roman" w:eastAsia="標楷體"/>
    </w:rPr>
  </w:style>
  <w:style w:type="paragraph" w:styleId="4">
    <w:name w:val="Plain Text"/>
    <w:basedOn w:val="1"/>
    <w:link w:val="9"/>
    <w:rPr>
      <w:rFonts w:hint="eastAsia" w:ascii="細明體" w:hAnsi="Courier New" w:eastAsia="細明體"/>
      <w:sz w:val="24"/>
    </w:rPr>
  </w:style>
  <w:style w:type="character" w:styleId="6">
    <w:name w:val="page number"/>
    <w:basedOn w:val="5"/>
    <w:rPr>
      <w:rFonts w:hint="default" w:ascii="Times New Roman"/>
    </w:rPr>
  </w:style>
  <w:style w:type="paragraph" w:customStyle="1" w:styleId="7">
    <w:name w:val="Normal (Web) Char Char"/>
    <w:basedOn w:val="1"/>
    <w:pPr>
      <w:widowControl/>
    </w:pPr>
    <w:rPr>
      <w:rFonts w:hint="eastAsia" w:ascii="Arial" w:hAnsi="Arial" w:eastAsia="新細明體"/>
      <w:sz w:val="18"/>
    </w:rPr>
  </w:style>
  <w:style w:type="character" w:customStyle="1" w:styleId="8">
    <w:name w:val="頁尾 字元"/>
    <w:basedOn w:val="5"/>
    <w:link w:val="2"/>
    <w:semiHidden/>
    <w:rPr>
      <w:rFonts w:hint="eastAsia" w:ascii="Times New Roman" w:hAnsi="Times New Roman" w:eastAsia="標楷體"/>
    </w:rPr>
  </w:style>
  <w:style w:type="character" w:customStyle="1" w:styleId="9">
    <w:name w:val="純文字 字元"/>
    <w:basedOn w:val="5"/>
    <w:link w:val="4"/>
    <w:semiHidden/>
    <w:rPr>
      <w:rFonts w:hint="eastAsia" w:ascii="細明體" w:hAnsi="Courier New" w:eastAsia="細明體"/>
      <w:sz w:val="24"/>
    </w:rPr>
  </w:style>
  <w:style w:type="character" w:customStyle="1" w:styleId="10">
    <w:name w:val="頁首 字元"/>
    <w:basedOn w:val="5"/>
    <w:link w:val="3"/>
    <w:semiHidden/>
    <w:rPr>
      <w:rFonts w:hint="eastAsia" w:ascii="Times New Roman" w:hAnsi="Times New Roman" w:eastAsia="標楷體"/>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Kingsoft Office_9.1.0.4256_{F1E327BC-269C-435d-A152-05C5408002CA}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2021-12-23T03:03:04Z</dcterms:created>
  <cp:lastModifiedBy>samliu</cp:lastModifiedBy>
  <dcterms:modified xsi:type="dcterms:W3CDTF">2021-12-23T03:03:32Z</dcterms:modified>
  <dc:title>保  密  合  約  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1033-9.1.0.4256</vt:lpwstr>
  </property>
</Properties>
</file>